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11" w:name="tribunal-judicial-da-comarca-de-lisboa"/>
    <w:p>
      <w:pPr>
        <w:pStyle w:val="Heading2"/>
      </w:pPr>
      <w:r>
        <w:t xml:space="preserve">Tribunal Judicial da Comarca de Lisboa</w:t>
      </w:r>
    </w:p>
    <w:p>
      <w:pPr>
        <w:pStyle w:val="FirstParagraph"/>
      </w:pPr>
      <w:r>
        <w:rPr>
          <w:b/>
          <w:bCs/>
        </w:rPr>
        <w:t xml:space="preserve">Vara Cível</w:t>
      </w:r>
      <w:r>
        <w:t xml:space="preserve"> </w:t>
      </w:r>
      <w:r>
        <w:t xml:space="preserve">– Juiz de Direito</w:t>
      </w:r>
    </w:p>
    <w:p>
      <w:pPr>
        <w:pStyle w:val="BodyText"/>
      </w:pPr>
      <w:r>
        <w:rPr>
          <w:b/>
          <w:bCs/>
        </w:rPr>
        <w:t xml:space="preserve">Processo n.º</w:t>
      </w:r>
      <w:r>
        <w:t xml:space="preserve"> </w:t>
      </w:r>
      <w:r>
        <w:t xml:space="preserve">1234/24.5T8LSB</w:t>
      </w:r>
    </w:p>
    <w:p>
      <w:r>
        <w:pict>
          <v:rect style="width:0;height:1.5pt" o:hralign="center" o:hrstd="t" o:hr="t"/>
        </w:pict>
      </w:r>
    </w:p>
    <w:bookmarkStart w:id="9" w:name="requerente"/>
    <w:p>
      <w:pPr>
        <w:pStyle w:val="Heading3"/>
      </w:pPr>
      <w:r>
        <w:t xml:space="preserve">Requerente</w:t>
      </w:r>
    </w:p>
    <w:p>
      <w:pPr>
        <w:pStyle w:val="FirstParagraph"/>
      </w:pPr>
      <w:r>
        <w:rPr>
          <w:b/>
          <w:bCs/>
        </w:rPr>
        <w:t xml:space="preserve">Empresa de Arrendamento Comercial, Lda.</w:t>
      </w:r>
      <w:r>
        <w:br/>
      </w:r>
      <w:r>
        <w:t xml:space="preserve">Sede: Rua da Boavista, 45 – 5.º Esq., 1050‑067 Lisboa</w:t>
      </w:r>
      <w:r>
        <w:br/>
      </w:r>
      <w:r>
        <w:t xml:space="preserve">NIF: 508 123 456</w:t>
      </w:r>
      <w:r>
        <w:br/>
      </w:r>
      <w:r>
        <w:t xml:space="preserve">Representada por: Dr. Ana Martins (OA 12345) e Dr. Luís Pereira (OA 67890) – Advogados, com escritório profissional na Avenida das Nações Unidas, 12, 1050‑190 Lisboa.</w:t>
      </w:r>
    </w:p>
    <w:bookmarkEnd w:id="9"/>
    <w:bookmarkStart w:id="10" w:name="réu"/>
    <w:p>
      <w:pPr>
        <w:pStyle w:val="Heading3"/>
      </w:pPr>
      <w:r>
        <w:t xml:space="preserve">Réu</w:t>
      </w:r>
    </w:p>
    <w:p>
      <w:pPr>
        <w:pStyle w:val="FirstParagraph"/>
      </w:pPr>
      <w:r>
        <w:rPr>
          <w:b/>
          <w:bCs/>
        </w:rPr>
        <w:t xml:space="preserve">Sr. João da Silva</w:t>
      </w:r>
      <w:r>
        <w:br/>
      </w:r>
      <w:r>
        <w:t xml:space="preserve">Morada: Apartamento 3, Rua de São Bento, 8, 1200‑345 Lisboa</w:t>
      </w:r>
      <w:r>
        <w:br/>
      </w:r>
      <w:r>
        <w:t xml:space="preserve">NIF: 221 334 556</w:t>
      </w:r>
    </w:p>
    <w:p>
      <w:r>
        <w:pict>
          <v:rect style="width:0;height:1.5pt" o:hralign="center" o:hrstd="t" o:hr="t"/>
        </w:pict>
      </w:r>
    </w:p>
    <w:bookmarkEnd w:id="10"/>
    <w:bookmarkEnd w:id="11"/>
    <w:bookmarkStart w:id="17" w:name="Xa63682a3f82442d52722b3506e9bd592ec16e52"/>
    <w:p>
      <w:pPr>
        <w:pStyle w:val="Heading2"/>
      </w:pPr>
      <w:r>
        <w:rPr>
          <w:b/>
          <w:bCs/>
        </w:rPr>
        <w:t xml:space="preserve">REQUERIMENTO DE MEDIDA PROVISÓRIA DE DESPEJO</w:t>
      </w:r>
    </w:p>
    <w:p>
      <w:pPr>
        <w:pStyle w:val="FirstParagraph"/>
      </w:pPr>
      <w:r>
        <w:rPr>
          <w:b/>
          <w:bCs/>
        </w:rPr>
        <w:t xml:space="preserve">Lisboa, 15 de março de 2024</w:t>
      </w:r>
    </w:p>
    <w:bookmarkStart w:id="12" w:name="i.-exposição-dos-factos"/>
    <w:p>
      <w:pPr>
        <w:pStyle w:val="Heading3"/>
      </w:pPr>
      <w:r>
        <w:t xml:space="preserve">I. Exposição dos Factos</w:t>
      </w:r>
    </w:p>
    <w:p>
      <w:pPr>
        <w:numPr>
          <w:ilvl w:val="0"/>
          <w:numId w:val="1001"/>
        </w:numPr>
      </w:pPr>
      <w:r>
        <w:rPr>
          <w:b/>
          <w:bCs/>
        </w:rPr>
        <w:t xml:space="preserve">Contrato de arrendamento comercial</w:t>
      </w:r>
      <w:r>
        <w:t xml:space="preserve"> </w:t>
      </w:r>
      <w:r>
        <w:t xml:space="preserve">– As partes celebraram, em 01 de janeiro de 2020, um contrato de arrendamento comercial, com vigência até 31 de dezembro de 2024, relativo ao estabelecimento comercial sito em Rua da Boavista, 45, 5.º Esq., Lisboa, pelo qual o Réu se obrigou a pagar ao Requerente a renda mensal de</w:t>
      </w:r>
      <w:r>
        <w:t xml:space="preserve"> </w:t>
      </w:r>
      <w:r>
        <w:rPr>
          <w:b/>
          <w:bCs/>
        </w:rPr>
        <w:t xml:space="preserve">€ 2 500,00</w:t>
      </w:r>
      <w:r>
        <w:t xml:space="preserve"> </w:t>
      </w:r>
      <w:r>
        <w:t xml:space="preserve">(dois mil e quinhentos euros), acrescida de atualização anual nos termos do contrato.</w:t>
      </w:r>
    </w:p>
    <w:p>
      <w:pPr>
        <w:numPr>
          <w:ilvl w:val="0"/>
          <w:numId w:val="1001"/>
        </w:numPr>
      </w:pPr>
      <w:r>
        <w:rPr>
          <w:b/>
          <w:bCs/>
        </w:rPr>
        <w:t xml:space="preserve">Incumprimento das obrigações de pagamento</w:t>
      </w:r>
      <w:r>
        <w:t xml:space="preserve"> </w:t>
      </w:r>
      <w:r>
        <w:t xml:space="preserve">– O Réu deixou de pagar as rendas referentes aos meses de julho a fevereiro de 2024, totalizando</w:t>
      </w:r>
      <w:r>
        <w:t xml:space="preserve"> </w:t>
      </w:r>
      <w:r>
        <w:rPr>
          <w:b/>
          <w:bCs/>
        </w:rPr>
        <w:t xml:space="preserve">8 (oito) meses de mora</w:t>
      </w:r>
      <w:r>
        <w:t xml:space="preserve">, conforme demonstra a tabela abaixo:</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Mês</w:t>
            </w:r>
          </w:p>
        </w:tc>
        <w:tc>
          <w:tcPr/>
          <w:p>
            <w:pPr>
              <w:pStyle w:val="Compact"/>
            </w:pPr>
            <w:r>
              <w:t xml:space="preserve">Valor da Renda (€)</w:t>
            </w:r>
          </w:p>
        </w:tc>
        <w:tc>
          <w:tcPr/>
          <w:p>
            <w:pPr>
              <w:pStyle w:val="Compact"/>
            </w:pPr>
            <w:r>
              <w:t xml:space="preserve">Valor em Dívida (€)</w:t>
            </w:r>
          </w:p>
        </w:tc>
      </w:tr>
      <w:tr>
        <w:tc>
          <w:tcPr/>
          <w:p>
            <w:pPr>
              <w:pStyle w:val="Compact"/>
            </w:pPr>
            <w:r>
              <w:t xml:space="preserve">Julho/2024</w:t>
            </w:r>
          </w:p>
        </w:tc>
        <w:tc>
          <w:tcPr/>
          <w:p>
            <w:pPr>
              <w:pStyle w:val="Compact"/>
            </w:pPr>
            <w:r>
              <w:t xml:space="preserve">2 500,00</w:t>
            </w:r>
          </w:p>
        </w:tc>
        <w:tc>
          <w:tcPr/>
          <w:p>
            <w:pPr>
              <w:pStyle w:val="Compact"/>
            </w:pPr>
            <w:r>
              <w:t xml:space="preserve">2 500,00</w:t>
            </w:r>
          </w:p>
        </w:tc>
      </w:tr>
      <w:tr>
        <w:tc>
          <w:tcPr/>
          <w:p>
            <w:pPr>
              <w:pStyle w:val="Compact"/>
            </w:pPr>
            <w:r>
              <w:t xml:space="preserve">Agosto/2024</w:t>
            </w:r>
          </w:p>
        </w:tc>
        <w:tc>
          <w:tcPr/>
          <w:p>
            <w:pPr>
              <w:pStyle w:val="Compact"/>
            </w:pPr>
            <w:r>
              <w:t xml:space="preserve">2 500,00</w:t>
            </w:r>
          </w:p>
        </w:tc>
        <w:tc>
          <w:tcPr/>
          <w:p>
            <w:pPr>
              <w:pStyle w:val="Compact"/>
            </w:pPr>
            <w:r>
              <w:t xml:space="preserve">2 500,00</w:t>
            </w:r>
          </w:p>
        </w:tc>
      </w:tr>
      <w:tr>
        <w:tc>
          <w:tcPr/>
          <w:p>
            <w:pPr>
              <w:pStyle w:val="Compact"/>
            </w:pPr>
            <w:r>
              <w:t xml:space="preserve">Setembro/2024</w:t>
            </w:r>
          </w:p>
        </w:tc>
        <w:tc>
          <w:tcPr/>
          <w:p>
            <w:pPr>
              <w:pStyle w:val="Compact"/>
            </w:pPr>
            <w:r>
              <w:t xml:space="preserve">2 500,00</w:t>
            </w:r>
          </w:p>
        </w:tc>
        <w:tc>
          <w:tcPr/>
          <w:p>
            <w:pPr>
              <w:pStyle w:val="Compact"/>
            </w:pPr>
            <w:r>
              <w:t xml:space="preserve">2 500,00</w:t>
            </w:r>
          </w:p>
        </w:tc>
      </w:tr>
      <w:tr>
        <w:tc>
          <w:tcPr/>
          <w:p>
            <w:pPr>
              <w:pStyle w:val="Compact"/>
            </w:pPr>
            <w:r>
              <w:t xml:space="preserve">Outubro/2024</w:t>
            </w:r>
          </w:p>
        </w:tc>
        <w:tc>
          <w:tcPr/>
          <w:p>
            <w:pPr>
              <w:pStyle w:val="Compact"/>
            </w:pPr>
            <w:r>
              <w:t xml:space="preserve">2 500,00</w:t>
            </w:r>
          </w:p>
        </w:tc>
        <w:tc>
          <w:tcPr/>
          <w:p>
            <w:pPr>
              <w:pStyle w:val="Compact"/>
            </w:pPr>
            <w:r>
              <w:t xml:space="preserve">2 500,00</w:t>
            </w:r>
          </w:p>
        </w:tc>
      </w:tr>
      <w:tr>
        <w:tc>
          <w:tcPr/>
          <w:p>
            <w:pPr>
              <w:pStyle w:val="Compact"/>
            </w:pPr>
            <w:r>
              <w:t xml:space="preserve">Novembro/2024</w:t>
            </w:r>
          </w:p>
        </w:tc>
        <w:tc>
          <w:tcPr/>
          <w:p>
            <w:pPr>
              <w:pStyle w:val="Compact"/>
            </w:pPr>
            <w:r>
              <w:t xml:space="preserve">2 500,00</w:t>
            </w:r>
          </w:p>
        </w:tc>
        <w:tc>
          <w:tcPr/>
          <w:p>
            <w:pPr>
              <w:pStyle w:val="Compact"/>
            </w:pPr>
            <w:r>
              <w:t xml:space="preserve">2 500,00</w:t>
            </w:r>
          </w:p>
        </w:tc>
      </w:tr>
      <w:tr>
        <w:tc>
          <w:tcPr/>
          <w:p>
            <w:pPr>
              <w:pStyle w:val="Compact"/>
            </w:pPr>
            <w:r>
              <w:t xml:space="preserve">Dezembro/2024</w:t>
            </w:r>
          </w:p>
        </w:tc>
        <w:tc>
          <w:tcPr/>
          <w:p>
            <w:pPr>
              <w:pStyle w:val="Compact"/>
            </w:pPr>
            <w:r>
              <w:t xml:space="preserve">2 500,00</w:t>
            </w:r>
          </w:p>
        </w:tc>
        <w:tc>
          <w:tcPr/>
          <w:p>
            <w:pPr>
              <w:pStyle w:val="Compact"/>
            </w:pPr>
            <w:r>
              <w:t xml:space="preserve">2 500,00</w:t>
            </w:r>
          </w:p>
        </w:tc>
      </w:tr>
      <w:tr>
        <w:tc>
          <w:tcPr/>
          <w:p>
            <w:pPr>
              <w:pStyle w:val="Compact"/>
            </w:pPr>
            <w:r>
              <w:t xml:space="preserve">Janeiro/2025</w:t>
            </w:r>
          </w:p>
        </w:tc>
        <w:tc>
          <w:tcPr/>
          <w:p>
            <w:pPr>
              <w:pStyle w:val="Compact"/>
            </w:pPr>
            <w:r>
              <w:t xml:space="preserve">2 500,00</w:t>
            </w:r>
          </w:p>
        </w:tc>
        <w:tc>
          <w:tcPr/>
          <w:p>
            <w:pPr>
              <w:pStyle w:val="Compact"/>
            </w:pPr>
            <w:r>
              <w:t xml:space="preserve">2 500,00</w:t>
            </w:r>
          </w:p>
        </w:tc>
      </w:tr>
      <w:tr>
        <w:tc>
          <w:tcPr/>
          <w:p>
            <w:pPr>
              <w:pStyle w:val="Compact"/>
            </w:pPr>
            <w:r>
              <w:t xml:space="preserve">Fevereiro/2025</w:t>
            </w:r>
          </w:p>
        </w:tc>
        <w:tc>
          <w:tcPr/>
          <w:p>
            <w:pPr>
              <w:pStyle w:val="Compact"/>
            </w:pPr>
            <w:r>
              <w:t xml:space="preserve">2 500,00</w:t>
            </w:r>
          </w:p>
        </w:tc>
        <w:tc>
          <w:tcPr/>
          <w:p>
            <w:pPr>
              <w:pStyle w:val="Compact"/>
            </w:pPr>
            <w:r>
              <w:t xml:space="preserve">2 500,00</w:t>
            </w:r>
          </w:p>
        </w:tc>
      </w:tr>
      <w:tr>
        <w:tc>
          <w:tcPr/>
          <w:p>
            <w:pPr>
              <w:pStyle w:val="Compact"/>
            </w:pPr>
            <w:r>
              <w:rPr>
                <w:b/>
                <w:bCs/>
              </w:rPr>
              <w:t xml:space="preserve">Total</w:t>
            </w:r>
          </w:p>
        </w:tc>
        <w:tc>
          <w:tcPr/>
          <w:p>
            <w:pPr>
              <w:pStyle w:val="Compact"/>
            </w:pPr>
            <w:r>
              <w:t xml:space="preserve">—</w:t>
            </w:r>
          </w:p>
        </w:tc>
        <w:tc>
          <w:tcPr/>
          <w:p>
            <w:pPr>
              <w:pStyle w:val="Compact"/>
            </w:pPr>
            <w:r>
              <w:rPr>
                <w:b/>
                <w:bCs/>
              </w:rPr>
              <w:t xml:space="preserve">€ 20 000,00</w:t>
            </w:r>
          </w:p>
        </w:tc>
      </w:tr>
    </w:tbl>
    <w:p>
      <w:pPr>
        <w:numPr>
          <w:ilvl w:val="0"/>
          <w:numId w:val="1002"/>
        </w:numPr>
      </w:pPr>
      <w:r>
        <w:rPr>
          <w:b/>
          <w:bCs/>
        </w:rPr>
        <w:t xml:space="preserve">Obras não autorizadas</w:t>
      </w:r>
      <w:r>
        <w:t xml:space="preserve"> </w:t>
      </w:r>
      <w:r>
        <w:t xml:space="preserve">– Entre outubro e dezembro de 2024, o Réu realizou obras de remodelação interior do estabelecimento, sem prévia autorização escrita do Requerente, incorrendo em custos adicionais de</w:t>
      </w:r>
      <w:r>
        <w:t xml:space="preserve"> </w:t>
      </w:r>
      <w:r>
        <w:rPr>
          <w:b/>
          <w:bCs/>
        </w:rPr>
        <w:t xml:space="preserve">€ 7 800,00</w:t>
      </w:r>
      <w:r>
        <w:t xml:space="preserve">, comprovados por facturas emitidas pela empresa de construção “Construtora Lisboa, Lda.” (NIF 509 987 321).</w:t>
      </w:r>
    </w:p>
    <w:p>
      <w:pPr>
        <w:numPr>
          <w:ilvl w:val="0"/>
          <w:numId w:val="1002"/>
        </w:numPr>
      </w:pPr>
      <w:r>
        <w:rPr>
          <w:b/>
          <w:bCs/>
        </w:rPr>
        <w:t xml:space="preserve">Caducidade do contrato</w:t>
      </w:r>
      <w:r>
        <w:t xml:space="preserve"> </w:t>
      </w:r>
      <w:r>
        <w:t xml:space="preserve">– Nos termos do artigo 1072.º do Código Civil, a mora de mais de três meses no pagamento da renda autoriza a resolução do contrato por parte do senhorio, o que foi comunicado ao Réu mediante notificação extrajudicial datada de 20 de fevereiro de 2024, sem que este tenha regularizado a situação.</w:t>
      </w:r>
    </w:p>
    <w:p>
      <w:pPr>
        <w:numPr>
          <w:ilvl w:val="0"/>
          <w:numId w:val="1002"/>
        </w:numPr>
      </w:pPr>
      <w:r>
        <w:rPr>
          <w:b/>
          <w:bCs/>
        </w:rPr>
        <w:t xml:space="preserve">Risco de continuidade da ocupação</w:t>
      </w:r>
      <w:r>
        <w:t xml:space="preserve"> </w:t>
      </w:r>
      <w:r>
        <w:t xml:space="preserve">– A permanência do Réu no imóvel impede a exploração comercial do Requerente e agrava o prejuízo patrimonial, sendo imprescindível a intervenção judicial célere para salvaguardar o direito de propriedade e o exercício da atividade empresarial.</w:t>
      </w:r>
    </w:p>
    <w:bookmarkEnd w:id="12"/>
    <w:bookmarkStart w:id="13" w:name="ii.-fundamentação-jurídica"/>
    <w:p>
      <w:pPr>
        <w:pStyle w:val="Heading3"/>
      </w:pPr>
      <w:r>
        <w:t xml:space="preserve">II. Fundamentação Jurídica</w:t>
      </w:r>
    </w:p>
    <w:p>
      <w:pPr>
        <w:numPr>
          <w:ilvl w:val="0"/>
          <w:numId w:val="1003"/>
        </w:numPr>
      </w:pPr>
      <w:r>
        <w:rPr>
          <w:b/>
          <w:bCs/>
        </w:rPr>
        <w:t xml:space="preserve">Artigos 1072.º e 1073.º do Código Civil</w:t>
      </w:r>
      <w:r>
        <w:t xml:space="preserve"> </w:t>
      </w:r>
      <w:r>
        <w:t xml:space="preserve">– A mora superior a três meses autoriza a resolução do contrato de arrendamento comercial, bem como a exigência de indemnização pelos prejuízos causados.</w:t>
      </w:r>
    </w:p>
    <w:p>
      <w:pPr>
        <w:numPr>
          <w:ilvl w:val="0"/>
          <w:numId w:val="1003"/>
        </w:numPr>
      </w:pPr>
      <w:r>
        <w:rPr>
          <w:b/>
          <w:bCs/>
        </w:rPr>
        <w:t xml:space="preserve">Artigos 562.º e seguintes do Código de Processo Civil</w:t>
      </w:r>
      <w:r>
        <w:t xml:space="preserve"> </w:t>
      </w:r>
      <w:r>
        <w:t xml:space="preserve">– O requerente tem direito a solicitar medida liminar de despejo quando demonstrada a probabilidade do direito e o risco de dano irreparável ou de difícil reparação, o que se verifica no presente caso.</w:t>
      </w:r>
    </w:p>
    <w:p>
      <w:pPr>
        <w:numPr>
          <w:ilvl w:val="0"/>
          <w:numId w:val="1003"/>
        </w:numPr>
      </w:pPr>
      <w:r>
        <w:rPr>
          <w:b/>
          <w:bCs/>
        </w:rPr>
        <w:t xml:space="preserve">Artigo 1.º, n.º 2, da Lei n.º 31/2012, de 28 de julho</w:t>
      </w:r>
      <w:r>
        <w:t xml:space="preserve"> </w:t>
      </w:r>
      <w:r>
        <w:t xml:space="preserve">(Regime Jurídico do Arrendamento Urbano) – Prevê a possibilidade de execução forçada da desocupação do imóvel arrendado, mediante ordem judicial, quando houver incumprimento grave das obrigações contratuais.</w:t>
      </w:r>
    </w:p>
    <w:p>
      <w:pPr>
        <w:numPr>
          <w:ilvl w:val="0"/>
          <w:numId w:val="1003"/>
        </w:numPr>
      </w:pPr>
      <w:r>
        <w:rPr>
          <w:b/>
          <w:bCs/>
        </w:rPr>
        <w:t xml:space="preserve">Juros moratórios</w:t>
      </w:r>
      <w:r>
        <w:t xml:space="preserve"> </w:t>
      </w:r>
      <w:r>
        <w:t xml:space="preserve">– Nos termos do artigo 408.º do Código Civil, incidem juros de mora à taxa legal sobre as quantias em dívida desde a data de vencimento até ao efetivo pagamento.</w:t>
      </w:r>
    </w:p>
    <w:bookmarkEnd w:id="13"/>
    <w:bookmarkStart w:id="14" w:name="iii.-pedido"/>
    <w:p>
      <w:pPr>
        <w:pStyle w:val="Heading3"/>
      </w:pPr>
      <w:r>
        <w:t xml:space="preserve">III. Pedido</w:t>
      </w:r>
    </w:p>
    <w:p>
      <w:pPr>
        <w:pStyle w:val="FirstParagraph"/>
      </w:pPr>
      <w:r>
        <w:t xml:space="preserve">Nestes termos, requer ao Excelentíssimo Juiz de Direito da Vara Cível de Lisboa que se digne a:</w:t>
      </w:r>
    </w:p>
    <w:p>
      <w:pPr>
        <w:numPr>
          <w:ilvl w:val="0"/>
          <w:numId w:val="1004"/>
        </w:numPr>
      </w:pPr>
      <w:r>
        <w:rPr>
          <w:b/>
          <w:bCs/>
        </w:rPr>
        <w:t xml:space="preserve">Conceder medida provisória de despejo</w:t>
      </w:r>
      <w:r>
        <w:t xml:space="preserve"> </w:t>
      </w:r>
      <w:r>
        <w:t xml:space="preserve">– Determinar a desocupação imediata do imóvel sito em Rua da Boavista, 45, 5.º Esq., Lisboa, pelo Réu, com prazo de</w:t>
      </w:r>
      <w:r>
        <w:t xml:space="preserve"> </w:t>
      </w:r>
      <w:r>
        <w:rPr>
          <w:b/>
          <w:bCs/>
        </w:rPr>
        <w:t xml:space="preserve">15 (quinze) dias</w:t>
      </w:r>
      <w:r>
        <w:t xml:space="preserve"> </w:t>
      </w:r>
      <w:r>
        <w:t xml:space="preserve">a contar da notificação da presente decisão, sob pena de execução coerciva.</w:t>
      </w:r>
    </w:p>
    <w:p>
      <w:pPr>
        <w:numPr>
          <w:ilvl w:val="0"/>
          <w:numId w:val="1004"/>
        </w:numPr>
      </w:pPr>
      <w:r>
        <w:rPr>
          <w:b/>
          <w:bCs/>
        </w:rPr>
        <w:t xml:space="preserve">Fixar caução</w:t>
      </w:r>
      <w:r>
        <w:t xml:space="preserve"> </w:t>
      </w:r>
      <w:r>
        <w:t xml:space="preserve">– Fixar caução no valor de</w:t>
      </w:r>
      <w:r>
        <w:t xml:space="preserve"> </w:t>
      </w:r>
      <w:r>
        <w:rPr>
          <w:b/>
          <w:bCs/>
        </w:rPr>
        <w:t xml:space="preserve">€ 5 000,00</w:t>
      </w:r>
      <w:r>
        <w:t xml:space="preserve"> </w:t>
      </w:r>
      <w:r>
        <w:t xml:space="preserve">(cinco mil euros), a ser prestada pelo Réu como garantia de eventual indemnização pelos danos causados, nos termos do artigo 562.º, n.º 2, do CPC.</w:t>
      </w:r>
    </w:p>
    <w:p>
      <w:pPr>
        <w:numPr>
          <w:ilvl w:val="0"/>
          <w:numId w:val="1004"/>
        </w:numPr>
      </w:pPr>
      <w:r>
        <w:rPr>
          <w:b/>
          <w:bCs/>
        </w:rPr>
        <w:t xml:space="preserve">Ordenar a entrega de chaves</w:t>
      </w:r>
      <w:r>
        <w:t xml:space="preserve"> </w:t>
      </w:r>
      <w:r>
        <w:t xml:space="preserve">– Determinar que o Réu entregue ao Requerente, ou ao seu mandatário, todas as chaves e dispositivos de acesso ao imóvel, bem como um inventário dos bens existentes no interior, no prazo de 48 horas após a desocupação.</w:t>
      </w:r>
    </w:p>
    <w:p>
      <w:pPr>
        <w:numPr>
          <w:ilvl w:val="0"/>
          <w:numId w:val="1004"/>
        </w:numPr>
      </w:pPr>
      <w:r>
        <w:rPr>
          <w:b/>
          <w:bCs/>
        </w:rPr>
        <w:t xml:space="preserve">Condicionar a medida</w:t>
      </w:r>
      <w:r>
        <w:t xml:space="preserve"> </w:t>
      </w:r>
      <w:r>
        <w:t xml:space="preserve">– Que a medida seja condicionada ao pagamento imediato das rendas vencidas (total de</w:t>
      </w:r>
      <w:r>
        <w:t xml:space="preserve"> </w:t>
      </w:r>
      <w:r>
        <w:rPr>
          <w:b/>
          <w:bCs/>
        </w:rPr>
        <w:t xml:space="preserve">€ 20 000,00</w:t>
      </w:r>
      <w:r>
        <w:t xml:space="preserve">) acrescidas de juros moratórios à taxa legal a contar de 01 de julho de 2024, bem como ao reembolso das despesas das obras não autorizadas (</w:t>
      </w:r>
      <w:r>
        <w:rPr>
          <w:b/>
          <w:bCs/>
        </w:rPr>
        <w:t xml:space="preserve">€ 7 800,00</w:t>
      </w:r>
      <w:r>
        <w:t xml:space="preserve">), sob pena de execução imediata.</w:t>
      </w:r>
    </w:p>
    <w:p>
      <w:pPr>
        <w:numPr>
          <w:ilvl w:val="0"/>
          <w:numId w:val="1004"/>
        </w:numPr>
      </w:pPr>
      <w:r>
        <w:rPr>
          <w:b/>
          <w:bCs/>
        </w:rPr>
        <w:t xml:space="preserve">Produzir prova</w:t>
      </w:r>
      <w:r>
        <w:t xml:space="preserve"> </w:t>
      </w:r>
      <w:r>
        <w:t xml:space="preserve">– Admitir, como prova documental, as seguintes peças:</w:t>
      </w:r>
    </w:p>
    <w:p>
      <w:pPr>
        <w:pStyle w:val="Compact"/>
        <w:numPr>
          <w:ilvl w:val="1"/>
          <w:numId w:val="1005"/>
        </w:numPr>
      </w:pPr>
      <w:r>
        <w:t xml:space="preserve">Contrato de arrendamento comercial (cópia autenticada);</w:t>
      </w:r>
    </w:p>
    <w:p>
      <w:pPr>
        <w:pStyle w:val="Compact"/>
        <w:numPr>
          <w:ilvl w:val="1"/>
          <w:numId w:val="1005"/>
        </w:numPr>
      </w:pPr>
      <w:r>
        <w:t xml:space="preserve">Notificação extrajudicial de 20 de fevereiro de 2024;</w:t>
      </w:r>
    </w:p>
    <w:p>
      <w:pPr>
        <w:pStyle w:val="Compact"/>
        <w:numPr>
          <w:ilvl w:val="1"/>
          <w:numId w:val="1005"/>
        </w:numPr>
      </w:pPr>
      <w:r>
        <w:t xml:space="preserve">Facturas das obras realizadas (Construtora Lisboa, Lda.);</w:t>
      </w:r>
    </w:p>
    <w:p>
      <w:pPr>
        <w:pStyle w:val="Compact"/>
        <w:numPr>
          <w:ilvl w:val="1"/>
          <w:numId w:val="1005"/>
        </w:numPr>
      </w:pPr>
      <w:r>
        <w:t xml:space="preserve">Tabelas de cálculo das rendas em dívida e dos juros moratórios.</w:t>
      </w:r>
    </w:p>
    <w:p>
      <w:pPr>
        <w:numPr>
          <w:ilvl w:val="0"/>
          <w:numId w:val="1004"/>
        </w:numPr>
      </w:pPr>
      <w:r>
        <w:rPr>
          <w:b/>
          <w:bCs/>
        </w:rPr>
        <w:t xml:space="preserve">Condenar o Réu</w:t>
      </w:r>
      <w:r>
        <w:t xml:space="preserve"> </w:t>
      </w:r>
      <w:r>
        <w:t xml:space="preserve">– No mérito, caso a medida liminar seja confirmada, condenar o Réu ao pagamento das rendas em atraso, juros moratórios, indemnização pelos custos das obras e custas processuais.</w:t>
      </w:r>
    </w:p>
    <w:bookmarkEnd w:id="14"/>
    <w:bookmarkStart w:id="15" w:name="iv.-protesto-por-provas"/>
    <w:p>
      <w:pPr>
        <w:pStyle w:val="Heading3"/>
      </w:pPr>
      <w:r>
        <w:t xml:space="preserve">IV. Protesto por Provas</w:t>
      </w:r>
    </w:p>
    <w:p>
      <w:pPr>
        <w:pStyle w:val="FirstParagraph"/>
      </w:pPr>
      <w:r>
        <w:t xml:space="preserve">Protesta-se, desde já, pela produção de todas as provas admitidas em direito, nomeadamente prova documental, pericial (avaliação do estado do imóvel) e testemunhal, caso necessário.</w:t>
      </w:r>
    </w:p>
    <w:bookmarkEnd w:id="15"/>
    <w:bookmarkStart w:id="16" w:name="v.-termos-e-local"/>
    <w:p>
      <w:pPr>
        <w:pStyle w:val="Heading3"/>
      </w:pPr>
      <w:r>
        <w:t xml:space="preserve">V. Termos e Local</w:t>
      </w:r>
    </w:p>
    <w:p>
      <w:pPr>
        <w:pStyle w:val="FirstParagraph"/>
      </w:pPr>
      <w:r>
        <w:t xml:space="preserve">Pede deferimento.</w:t>
      </w:r>
    </w:p>
    <w:p>
      <w:r>
        <w:pict>
          <v:rect style="width:0;height:1.5pt" o:hralign="center" o:hrstd="t" o:hr="t"/>
        </w:pict>
      </w:r>
    </w:p>
    <w:p>
      <w:pPr>
        <w:pStyle w:val="FirstParagraph"/>
      </w:pPr>
      <w:r>
        <w:rPr>
          <w:b/>
          <w:bCs/>
        </w:rPr>
        <w:t xml:space="preserve">Lisboa, 15 de março de 2024</w:t>
      </w:r>
    </w:p>
    <w:p>
      <w:pPr>
        <w:pStyle w:val="BodyText"/>
      </w:pPr>
      <w:r>
        <w:rPr>
          <w:b/>
          <w:bCs/>
        </w:rPr>
        <w:t xml:space="preserve">Dr. Ana Martins</w:t>
      </w:r>
      <w:r>
        <w:t xml:space="preserve"> </w:t>
      </w:r>
      <w:r>
        <w:t xml:space="preserve">– OA 12345</w:t>
      </w:r>
      <w:r>
        <w:br/>
      </w:r>
      <w:r>
        <w:rPr>
          <w:b/>
          <w:bCs/>
        </w:rPr>
        <w:t xml:space="preserve">Dr. Luís Pereira</w:t>
      </w:r>
      <w:r>
        <w:t xml:space="preserve"> </w:t>
      </w:r>
      <w:r>
        <w:t xml:space="preserve">– OA 67890</w:t>
      </w:r>
    </w:p>
    <w:p>
      <w:pPr>
        <w:pStyle w:val="BodyText"/>
      </w:pPr>
      <w:r>
        <w:rPr>
          <w:i/>
          <w:iCs/>
        </w:rPr>
        <w:t xml:space="preserve">Advogados, OAB Lisboa</w:t>
      </w:r>
    </w:p>
    <w:p>
      <w:r>
        <w:pict>
          <v:rect style="width:0;height:1.5pt" o:hralign="center" o:hrstd="t" o:hr="t"/>
        </w:pict>
      </w:r>
    </w:p>
    <w:bookmarkEnd w:id="16"/>
    <w:bookmarkEnd w:id="17"/>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413">
    <w:nsid w:val="00A99413"/>
    <w:multiLevelType w:val="multilevel"/>
    <w:lvl w:ilvl="0">
      <w:start w:val="3"/>
      <w:numFmt w:val="decimal"/>
      <w:lvlText w:val="%1."/>
      <w:lvlJc w:val="left"/>
      <w:pPr>
        <w:ind w:left="720" w:hanging="360"/>
      </w:pPr>
    </w:lvl>
    <w:lvl w:ilvl="1">
      <w:start w:val="3"/>
      <w:numFmt w:val="decimal"/>
      <w:lvlText w:val="%2."/>
      <w:lvlJc w:val="left"/>
      <w:pPr>
        <w:ind w:left="1440" w:hanging="360"/>
      </w:pPr>
    </w:lvl>
    <w:lvl w:ilvl="2">
      <w:start w:val="3"/>
      <w:numFmt w:val="decimal"/>
      <w:lvlText w:val="%3."/>
      <w:lvlJc w:val="left"/>
      <w:pPr>
        <w:ind w:left="2160" w:hanging="360"/>
      </w:pPr>
    </w:lvl>
    <w:lvl w:ilvl="3">
      <w:start w:val="3"/>
      <w:numFmt w:val="decimal"/>
      <w:lvlText w:val="%4."/>
      <w:lvlJc w:val="left"/>
      <w:pPr>
        <w:ind w:left="2880" w:hanging="360"/>
      </w:pPr>
    </w:lvl>
    <w:lvl w:ilvl="4">
      <w:start w:val="3"/>
      <w:numFmt w:val="decimal"/>
      <w:lvlText w:val="%5."/>
      <w:lvlJc w:val="left"/>
      <w:pPr>
        <w:ind w:left="3600" w:hanging="360"/>
      </w:pPr>
    </w:lvl>
    <w:lvl w:ilvl="5">
      <w:start w:val="3"/>
      <w:numFmt w:val="decimal"/>
      <w:lvlText w:val="%6."/>
      <w:lvlJc w:val="left"/>
      <w:pPr>
        <w:ind w:left="4320" w:hanging="360"/>
      </w:pPr>
    </w:lvl>
    <w:lvl w:ilvl="6">
      <w:start w:val="3"/>
      <w:numFmt w:val="decimal"/>
      <w:lvlText w:val="%7."/>
      <w:lvlJc w:val="left"/>
      <w:pPr>
        <w:ind w:left="5040" w:hanging="360"/>
      </w:pPr>
    </w:lvl>
    <w:lvl w:ilvl="7">
      <w:start w:val="3"/>
      <w:numFmt w:val="decimal"/>
      <w:lvlText w:val="%8."/>
      <w:lvlJc w:val="left"/>
      <w:pPr>
        <w:ind w:left="5760" w:hanging="360"/>
      </w:pPr>
    </w:lvl>
    <w:lvl w:ilvl="8">
      <w:start w:val="3"/>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413"/>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2026-02-22T19:19:51Z</dcterms:created>
  <dcterms:modified xsi:type="dcterms:W3CDTF">2026-02-22T19:19:51Z</dcterms:modified>
</cp:coreProperties>
</file>

<file path=docProps/custom.xml><?xml version="1.0" encoding="utf-8"?>
<Properties xmlns="http://schemas.openxmlformats.org/officeDocument/2006/custom-properties" xmlns:vt="http://schemas.openxmlformats.org/officeDocument/2006/docPropsVTypes"/>
</file>